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F10743" w:rsidRDefault="00711D25" w:rsidP="00711D25">
      <w:pPr>
        <w:spacing w:line="360" w:lineRule="auto"/>
        <w:rPr>
          <w:b/>
          <w:u w:val="single"/>
        </w:rPr>
      </w:pPr>
    </w:p>
    <w:p w:rsidR="00923D79" w:rsidRPr="00F10743" w:rsidRDefault="000B3F81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ΑΝΑΝΕΩΣΗ</w:t>
      </w:r>
      <w:r w:rsidR="00923D79" w:rsidRPr="00F10743">
        <w:rPr>
          <w:b/>
          <w:color w:val="244061" w:themeColor="accent1" w:themeShade="80"/>
          <w:u w:val="single"/>
        </w:rPr>
        <w:t xml:space="preserve"> ΕΓΓΡΑΦΗΣ</w:t>
      </w:r>
    </w:p>
    <w:p w:rsidR="00923D79" w:rsidRPr="00F10743" w:rsidRDefault="000B3F81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>
        <w:rPr>
          <w:b/>
          <w:color w:val="244061" w:themeColor="accent1" w:themeShade="80"/>
          <w:u w:val="single"/>
        </w:rPr>
        <w:t>ΔΗΛΩΣΗ</w:t>
      </w:r>
      <w:r w:rsidR="00923D79" w:rsidRPr="00F10743">
        <w:rPr>
          <w:b/>
          <w:color w:val="244061" w:themeColor="accent1" w:themeShade="80"/>
          <w:u w:val="single"/>
        </w:rPr>
        <w:t xml:space="preserve"> ΜΑΘΗΜΑΤΩΝ 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&amp; ΔΙΟΡΘΩΤΙΚ</w:t>
      </w:r>
      <w:r w:rsidRPr="00F10743">
        <w:rPr>
          <w:b/>
          <w:color w:val="244061" w:themeColor="accent1" w:themeShade="80"/>
          <w:u w:val="single"/>
          <w:lang w:val="en-US"/>
        </w:rPr>
        <w:t>H</w:t>
      </w:r>
      <w:r w:rsidR="00752092">
        <w:rPr>
          <w:b/>
          <w:color w:val="244061" w:themeColor="accent1" w:themeShade="80"/>
          <w:u w:val="single"/>
        </w:rPr>
        <w:t xml:space="preserve"> ΔΗΛΩΣΗ</w:t>
      </w:r>
      <w:r w:rsidRPr="00F10743">
        <w:rPr>
          <w:b/>
          <w:color w:val="244061" w:themeColor="accent1" w:themeShade="80"/>
          <w:u w:val="single"/>
        </w:rPr>
        <w:t xml:space="preserve"> </w:t>
      </w:r>
    </w:p>
    <w:p w:rsidR="00923D79" w:rsidRPr="00F10743" w:rsidRDefault="00923D79" w:rsidP="00923D79">
      <w:pPr>
        <w:spacing w:line="360" w:lineRule="auto"/>
        <w:jc w:val="center"/>
        <w:rPr>
          <w:b/>
          <w:color w:val="244061" w:themeColor="accent1" w:themeShade="80"/>
          <w:u w:val="single"/>
        </w:rPr>
      </w:pPr>
      <w:r w:rsidRPr="00F10743">
        <w:rPr>
          <w:b/>
          <w:color w:val="244061" w:themeColor="accent1" w:themeShade="80"/>
          <w:u w:val="single"/>
        </w:rPr>
        <w:t>Ε</w:t>
      </w:r>
      <w:r w:rsidR="00752092">
        <w:rPr>
          <w:b/>
          <w:color w:val="244061" w:themeColor="accent1" w:themeShade="80"/>
          <w:u w:val="single"/>
        </w:rPr>
        <w:t>Α</w:t>
      </w:r>
      <w:r w:rsidR="00DC4226">
        <w:rPr>
          <w:b/>
          <w:color w:val="244061" w:themeColor="accent1" w:themeShade="80"/>
          <w:u w:val="single"/>
        </w:rPr>
        <w:t>ΡΙΝΟΥ ΕΞΑΜΗΝΟΥ ΑΚ. ΕΤΟΥΣ 2022-2023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8B1C6E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9477A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8B1C6E">
        <w:rPr>
          <w:rFonts w:ascii="Arial Narrow" w:hAnsi="Arial Narrow"/>
          <w:b/>
          <w:u w:val="single"/>
        </w:rPr>
        <w:t xml:space="preserve">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για το </w:t>
      </w:r>
      <w:r w:rsidR="0055727F" w:rsidRPr="008B1C6E">
        <w:rPr>
          <w:rFonts w:ascii="Arial Narrow" w:hAnsi="Arial Narrow"/>
        </w:rPr>
        <w:t>ε</w:t>
      </w:r>
      <w:r w:rsidR="00DC4226">
        <w:rPr>
          <w:rFonts w:ascii="Arial Narrow" w:hAnsi="Arial Narrow"/>
        </w:rPr>
        <w:t>α</w:t>
      </w:r>
      <w:r w:rsidR="0055727F" w:rsidRPr="008B1C6E">
        <w:rPr>
          <w:rFonts w:ascii="Arial Narrow" w:hAnsi="Arial Narrow"/>
        </w:rPr>
        <w:t xml:space="preserve">ρινό εξάμηνο </w:t>
      </w:r>
      <w:proofErr w:type="spellStart"/>
      <w:r w:rsidR="0055727F" w:rsidRPr="008B1C6E">
        <w:rPr>
          <w:rFonts w:ascii="Arial Narrow" w:hAnsi="Arial Narrow"/>
        </w:rPr>
        <w:t>ακ</w:t>
      </w:r>
      <w:proofErr w:type="spellEnd"/>
      <w:r w:rsidR="0055727F" w:rsidRPr="008B1C6E">
        <w:rPr>
          <w:rFonts w:ascii="Arial Narrow" w:hAnsi="Arial Narrow"/>
        </w:rPr>
        <w:t>. έτους 202</w:t>
      </w:r>
      <w:r w:rsidR="00DC4226">
        <w:rPr>
          <w:rFonts w:ascii="Arial Narrow" w:hAnsi="Arial Narrow"/>
        </w:rPr>
        <w:t xml:space="preserve">2-2023 </w:t>
      </w:r>
      <w:r w:rsidRPr="008B1C6E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8B1C6E" w:rsidRDefault="00EB7998" w:rsidP="00EB7998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 </w:t>
      </w:r>
      <w:r w:rsidRPr="008B1C6E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49477A">
        <w:rPr>
          <w:rFonts w:ascii="Arial Narrow" w:hAnsi="Arial Narrow"/>
          <w:highlight w:val="yellow"/>
        </w:rPr>
        <w:t xml:space="preserve">στην διεύθυνση  </w:t>
      </w:r>
      <w:r w:rsidRPr="0049477A">
        <w:rPr>
          <w:rFonts w:ascii="Verdana" w:hAnsi="Verdana"/>
          <w:color w:val="000000"/>
          <w:highlight w:val="yellow"/>
          <w:shd w:val="clear" w:color="auto" w:fill="A4A7AE"/>
        </w:rPr>
        <w:t>https://uniportal.ihu.gr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10743" w:rsidRPr="008B1C6E" w:rsidRDefault="00F10743" w:rsidP="00F10743">
      <w:pPr>
        <w:jc w:val="center"/>
        <w:rPr>
          <w:rFonts w:ascii="Arial Narrow" w:hAnsi="Arial Narrow"/>
        </w:rPr>
      </w:pPr>
      <w:r w:rsidRPr="008B1C6E">
        <w:rPr>
          <w:rFonts w:ascii="Arial Narrow" w:hAnsi="Arial Narrow"/>
        </w:rPr>
        <w:t>(όνομα χρήστη &amp; κωδικό πρόσβασης)</w:t>
      </w:r>
    </w:p>
    <w:p w:rsidR="00F10743" w:rsidRDefault="00DC4226" w:rsidP="00F1074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highlight w:val="yellow"/>
        </w:rPr>
        <w:t>από 20-03-2023 έως  03-04-2023</w:t>
      </w:r>
      <w:r w:rsidR="00F10743" w:rsidRPr="0049477A">
        <w:rPr>
          <w:rFonts w:ascii="Arial Narrow" w:hAnsi="Arial Narrow"/>
          <w:b/>
          <w:sz w:val="28"/>
          <w:szCs w:val="28"/>
          <w:highlight w:val="yellow"/>
        </w:rPr>
        <w:t>.</w:t>
      </w:r>
    </w:p>
    <w:p w:rsidR="00FC6E41" w:rsidRPr="00FC6E41" w:rsidRDefault="00FC6E41" w:rsidP="00F10743">
      <w:pPr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Οι  φοιτητές δηλώνουν τα μ</w:t>
      </w:r>
      <w:r w:rsidR="00752092">
        <w:rPr>
          <w:rFonts w:ascii="Arial Narrow" w:hAnsi="Arial Narrow"/>
        </w:rPr>
        <w:t xml:space="preserve">αθήματα που διδάσκονται στο </w:t>
      </w:r>
      <w:r w:rsidRPr="0055727F">
        <w:rPr>
          <w:rFonts w:ascii="Arial Narrow" w:hAnsi="Arial Narrow"/>
        </w:rPr>
        <w:t>ε</w:t>
      </w:r>
      <w:r w:rsidR="00752092">
        <w:rPr>
          <w:rFonts w:ascii="Arial Narrow" w:hAnsi="Arial Narrow"/>
        </w:rPr>
        <w:t>α</w:t>
      </w:r>
      <w:r w:rsidRPr="0055727F">
        <w:rPr>
          <w:rFonts w:ascii="Arial Narrow" w:hAnsi="Arial Narrow"/>
        </w:rPr>
        <w:t xml:space="preserve">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DC4226">
        <w:rPr>
          <w:rFonts w:ascii="Arial Narrow" w:hAnsi="Arial Narrow"/>
        </w:rPr>
        <w:t>. έτους 2022-2023</w:t>
      </w:r>
      <w:r w:rsidR="0055727F"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</w:rPr>
        <w:t>σύ</w:t>
      </w:r>
      <w:r w:rsidR="00752092">
        <w:rPr>
          <w:rFonts w:ascii="Arial Narrow" w:hAnsi="Arial Narrow"/>
        </w:rPr>
        <w:t>μφωνα με το ωρολόγιο πρόγραμμα.</w:t>
      </w:r>
      <w:r w:rsidRPr="0055727F">
        <w:rPr>
          <w:rFonts w:ascii="Arial Narrow" w:hAnsi="Arial Narrow"/>
        </w:rPr>
        <w:t xml:space="preserve">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/>
        </w:rPr>
      </w:pPr>
      <w:r w:rsidRPr="00BC6403">
        <w:rPr>
          <w:rFonts w:ascii="Arial Narrow" w:hAnsi="Arial Narrow"/>
        </w:rPr>
        <w:t>Φαρμακολογία (Θ) ΠΕ σε αντιστοιχία με την  Φαρμακολογία (Θ)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/>
        </w:rPr>
      </w:pPr>
      <w:r w:rsidRPr="00BC6403">
        <w:rPr>
          <w:rFonts w:ascii="Arial Narrow" w:hAnsi="Arial Narrow"/>
        </w:rPr>
        <w:t>Βασικές Αρχές Νοσηλευτικής (Θ) ΠΕ σε αντιστοιχία με τις  Βασικές Αρχές Νοσηλευτικής (Θ)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/>
          <w:i/>
        </w:rPr>
      </w:pPr>
      <w:r w:rsidRPr="00BC6403">
        <w:rPr>
          <w:rFonts w:ascii="Arial Narrow" w:hAnsi="Arial Narrow"/>
        </w:rPr>
        <w:t>Ανατομία ΙΙ (Θ +</w:t>
      </w:r>
      <w:r w:rsidRPr="00BC6403">
        <w:rPr>
          <w:rFonts w:ascii="Arial Narrow" w:hAnsi="Arial Narrow"/>
          <w:lang w:val="en-US"/>
        </w:rPr>
        <w:t>E</w:t>
      </w:r>
      <w:r w:rsidRPr="00BC6403">
        <w:rPr>
          <w:rFonts w:ascii="Arial Narrow" w:hAnsi="Arial Narrow"/>
        </w:rPr>
        <w:t>) ΠΕ σε αντιστοιχία με την Ανατομία ΙΙ (Θ)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/>
          <w:i/>
        </w:rPr>
      </w:pPr>
      <w:r w:rsidRPr="00BC6403">
        <w:rPr>
          <w:rFonts w:ascii="Arial Narrow" w:hAnsi="Arial Narrow"/>
        </w:rPr>
        <w:t>Φυσιολογία ΙΙ (Θ) ΠΕ σε αντιστοιχία με την Φυσιολογία ΙΙ  (Θ) 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/>
        </w:rPr>
      </w:pPr>
      <w:r w:rsidRPr="00BC6403">
        <w:rPr>
          <w:rFonts w:ascii="Arial Narrow" w:hAnsi="Arial Narrow"/>
        </w:rPr>
        <w:t>Παθολογία Ι (Θ) ΠΕ σε αντιστοιχία με την  Παθολογία Ι (Θ) ΤΕ</w:t>
      </w:r>
    </w:p>
    <w:p w:rsidR="00DC4226" w:rsidRPr="00BC6403" w:rsidRDefault="00DC4226" w:rsidP="00DC4226">
      <w:pPr>
        <w:pStyle w:val="a3"/>
        <w:numPr>
          <w:ilvl w:val="0"/>
          <w:numId w:val="1"/>
        </w:numPr>
        <w:ind w:left="644"/>
        <w:jc w:val="both"/>
        <w:rPr>
          <w:rFonts w:ascii="Arial Narrow" w:hAnsi="Arial Narrow"/>
        </w:rPr>
      </w:pPr>
      <w:proofErr w:type="spellStart"/>
      <w:r w:rsidRPr="00BC6403">
        <w:rPr>
          <w:rFonts w:ascii="Arial Narrow" w:hAnsi="Arial Narrow"/>
        </w:rPr>
        <w:t>Βιοστατιστική</w:t>
      </w:r>
      <w:proofErr w:type="spellEnd"/>
      <w:r w:rsidRPr="00BC6403">
        <w:rPr>
          <w:rFonts w:ascii="Arial Narrow" w:hAnsi="Arial Narrow"/>
        </w:rPr>
        <w:t xml:space="preserve"> (Θ +Ε) ΠΕ σε αντιστοιχία με την  </w:t>
      </w:r>
      <w:proofErr w:type="spellStart"/>
      <w:r w:rsidRPr="00BC6403">
        <w:rPr>
          <w:rFonts w:ascii="Arial Narrow" w:hAnsi="Arial Narrow"/>
        </w:rPr>
        <w:t>Βιοστατιστική</w:t>
      </w:r>
      <w:proofErr w:type="spellEnd"/>
      <w:r w:rsidRPr="00BC6403">
        <w:rPr>
          <w:rFonts w:ascii="Arial Narrow" w:hAnsi="Arial Narrow"/>
        </w:rPr>
        <w:t xml:space="preserve"> (Θ +Ε)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Χειρουργική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ΙΙ (Θ)</w:t>
      </w:r>
      <w:r w:rsidRPr="00BC6403">
        <w:rPr>
          <w:rFonts w:ascii="Arial Narrow" w:hAnsi="Arial Narrow" w:cs="Arial"/>
        </w:rPr>
        <w:t xml:space="preserve"> ΠΕ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σε αντιστοιχία με την  Χειρουργική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ΙΙ (Θ)</w:t>
      </w:r>
      <w:r w:rsidRPr="00BC6403">
        <w:rPr>
          <w:rFonts w:ascii="Arial Narrow" w:hAnsi="Arial Narrow" w:cs="Arial"/>
        </w:rPr>
        <w:t xml:space="preserve"> 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Χειρουργική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ΙΙ (εργαστήριο)</w:t>
      </w:r>
      <w:r w:rsidRPr="00BC6403">
        <w:rPr>
          <w:rFonts w:ascii="Arial Narrow" w:hAnsi="Arial Narrow" w:cs="Arial"/>
        </w:rPr>
        <w:t xml:space="preserve"> ΠΕ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σε αντιστοιχία με την  Χειρουργική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ΙΙ (εργαστήριο)</w:t>
      </w:r>
      <w:r w:rsidRPr="00BC6403">
        <w:rPr>
          <w:rFonts w:ascii="Arial Narrow" w:hAnsi="Arial Narrow" w:cs="Arial"/>
        </w:rPr>
        <w:t xml:space="preserve"> 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Παθολογική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ΙΙ (εργαστήριο)</w:t>
      </w:r>
      <w:r w:rsidRPr="00BC6403">
        <w:rPr>
          <w:rFonts w:ascii="Arial Narrow" w:hAnsi="Arial Narrow" w:cs="Arial"/>
        </w:rPr>
        <w:t xml:space="preserve"> ΠΕ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σε αντιστοιχία με την  Παθολογική Νοσηλευτική</w:t>
      </w:r>
      <w:r w:rsidRPr="00BC6403">
        <w:rPr>
          <w:rFonts w:ascii="Arial Narrow" w:hAnsi="Arial Narrow" w:cs="Arial"/>
          <w:bCs/>
        </w:rPr>
        <w:t xml:space="preserve"> ΙΙ (εργαστήριο)</w:t>
      </w:r>
      <w:r w:rsidRPr="00BC6403">
        <w:rPr>
          <w:rFonts w:ascii="Arial Narrow" w:hAnsi="Arial Narrow" w:cs="Arial"/>
        </w:rPr>
        <w:t xml:space="preserve">  ΤΕ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Ξένη Γλωσσά – Ορολογία (Θ) ΠΕ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σε αντιστοιχία με την  Ξένη Γλωσσά – Ορολογία (Θ)  Τ.Ε.</w:t>
      </w:r>
    </w:p>
    <w:p w:rsidR="00DC4226" w:rsidRPr="00BC6403" w:rsidRDefault="00DC4226" w:rsidP="00DC4226">
      <w:pPr>
        <w:numPr>
          <w:ilvl w:val="0"/>
          <w:numId w:val="1"/>
        </w:numPr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Αρχές Πληροφορικής και Εφαρμογές στην Υγεία (Θ+Ε)</w:t>
      </w:r>
      <w:r w:rsidRPr="00BC6403">
        <w:rPr>
          <w:rFonts w:ascii="Arial Narrow" w:hAnsi="Arial Narrow"/>
        </w:rPr>
        <w:t xml:space="preserve"> ΠΕ</w:t>
      </w:r>
      <w:r w:rsidRPr="00BC6403">
        <w:rPr>
          <w:rFonts w:ascii="Arial Narrow" w:hAnsi="Arial Narrow"/>
          <w:bCs/>
        </w:rPr>
        <w:t xml:space="preserve"> </w:t>
      </w:r>
      <w:r w:rsidRPr="00BC6403">
        <w:rPr>
          <w:rFonts w:ascii="Arial Narrow" w:hAnsi="Arial Narrow"/>
        </w:rPr>
        <w:t>σε αντιστοιχία με την</w:t>
      </w:r>
      <w:r w:rsidRPr="00BC6403">
        <w:rPr>
          <w:rFonts w:ascii="Arial Narrow" w:hAnsi="Arial Narrow" w:cs="Arial"/>
        </w:rPr>
        <w:t xml:space="preserve"> Πληροφορική Υγείας(θεωρία)</w:t>
      </w:r>
      <w:r w:rsidRPr="00BC6403">
        <w:rPr>
          <w:rFonts w:ascii="Arial Narrow" w:hAnsi="Arial Narrow"/>
        </w:rPr>
        <w:t xml:space="preserve"> </w:t>
      </w:r>
      <w:r w:rsidRPr="00BC6403">
        <w:rPr>
          <w:rFonts w:ascii="Arial Narrow" w:hAnsi="Arial Narrow" w:cs="Arial"/>
        </w:rPr>
        <w:t>Τ.Ε. ή Εισαγωγή στην Πληροφορική (θεωρία)</w:t>
      </w:r>
      <w:r w:rsidRPr="00BC6403">
        <w:rPr>
          <w:rFonts w:ascii="Arial Narrow" w:hAnsi="Arial Narrow"/>
        </w:rPr>
        <w:t xml:space="preserve"> </w:t>
      </w:r>
      <w:r w:rsidRPr="00BC6403">
        <w:rPr>
          <w:rFonts w:ascii="Arial Narrow" w:hAnsi="Arial Narrow" w:cs="Arial"/>
        </w:rPr>
        <w:t>Τ.Ε δεν μπορούνε όμως να διαλέξουν και τα δυο (2) μαθήματα ΤΕ συγχρόνως στο ίδιο εξάμηνο,  επιλέγουν ένα από τα δύο)</w:t>
      </w:r>
    </w:p>
    <w:p w:rsidR="00DC4226" w:rsidRPr="00BC6403" w:rsidRDefault="00DC4226" w:rsidP="00DC4226">
      <w:pPr>
        <w:numPr>
          <w:ilvl w:val="0"/>
          <w:numId w:val="1"/>
        </w:numPr>
        <w:shd w:val="clear" w:color="auto" w:fill="FFFFFF"/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  <w:iCs/>
        </w:rPr>
        <w:t>Επιδημιολογία – Δημόσια Υγιεινή (Θ) ΠΕ σε αντιστοιχία με την  Δημόσια Υγιεινή (Θ) Τ.Ε. ή με την Επιδημιολογία (Θ) Τ.Ε. δεν μπορούνε όμως να διαλέξουν και τα δυο (2) μαθήματα ΤΕ συγχρόνως στο ίδιο εξάμηνο, επιλέγουν ένα από τα δύο)</w:t>
      </w:r>
    </w:p>
    <w:p w:rsidR="00DC4226" w:rsidRPr="00BC6403" w:rsidRDefault="00DC4226" w:rsidP="00DC4226">
      <w:pPr>
        <w:pStyle w:val="a3"/>
        <w:numPr>
          <w:ilvl w:val="0"/>
          <w:numId w:val="1"/>
        </w:numPr>
        <w:spacing w:after="200" w:line="276" w:lineRule="auto"/>
        <w:ind w:left="644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Νοσηλευτική</w:t>
      </w:r>
      <w:r w:rsidRPr="00BC6403">
        <w:rPr>
          <w:rFonts w:ascii="Arial Narrow" w:hAnsi="Arial Narrow" w:cs="Arial"/>
          <w:bCs/>
        </w:rPr>
        <w:t xml:space="preserve"> Ψυχικής Υγείας (Θ&amp; Ε)</w:t>
      </w:r>
      <w:r w:rsidRPr="00BC6403">
        <w:rPr>
          <w:rFonts w:ascii="Arial Narrow" w:hAnsi="Arial Narrow" w:cs="Arial"/>
        </w:rPr>
        <w:t xml:space="preserve"> ΠΕ</w:t>
      </w:r>
      <w:r w:rsidRPr="00BC6403">
        <w:rPr>
          <w:rFonts w:ascii="Arial Narrow" w:hAnsi="Arial Narrow" w:cs="Arial"/>
          <w:bCs/>
        </w:rPr>
        <w:t xml:space="preserve"> </w:t>
      </w:r>
      <w:r w:rsidRPr="00BC6403">
        <w:rPr>
          <w:rFonts w:ascii="Arial Narrow" w:hAnsi="Arial Narrow" w:cs="Arial"/>
        </w:rPr>
        <w:t>σε αντιστοιχία με την  Νοσηλευτική</w:t>
      </w:r>
      <w:r w:rsidRPr="00BC6403">
        <w:rPr>
          <w:rFonts w:ascii="Arial Narrow" w:hAnsi="Arial Narrow" w:cs="Arial"/>
          <w:bCs/>
        </w:rPr>
        <w:t xml:space="preserve"> Ψυχικής Υγείας (Θ &amp; Ε)</w:t>
      </w:r>
      <w:r w:rsidRPr="00BC6403">
        <w:rPr>
          <w:rFonts w:ascii="Arial Narrow" w:hAnsi="Arial Narrow" w:cs="Arial"/>
        </w:rPr>
        <w:t xml:space="preserve"> ΤΕ</w:t>
      </w:r>
    </w:p>
    <w:p w:rsidR="00DC4226" w:rsidRPr="00BC6403" w:rsidRDefault="00DC4226" w:rsidP="00DC4226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left="644"/>
        <w:jc w:val="both"/>
        <w:rPr>
          <w:rFonts w:ascii="Arial Narrow" w:hAnsi="Arial Narrow" w:cs="Arial"/>
          <w:iCs/>
          <w:color w:val="000000"/>
        </w:rPr>
      </w:pPr>
      <w:r w:rsidRPr="00BC6403">
        <w:rPr>
          <w:rFonts w:ascii="Arial Narrow" w:hAnsi="Arial Narrow" w:cs="Arial"/>
          <w:iCs/>
          <w:color w:val="000000"/>
        </w:rPr>
        <w:t>- Επείγουσα Νοσηλευτική/ ΜΕΘ  (Θ+Ε) ΠΕ σε αντιστοιχία με  την Επείγουσα Νοσηλευτική (Θ+Ε) Τ.Ε.</w:t>
      </w:r>
    </w:p>
    <w:p w:rsidR="00DC4226" w:rsidRPr="00BC6403" w:rsidRDefault="00DC4226" w:rsidP="00DC4226">
      <w:pPr>
        <w:pStyle w:val="a3"/>
        <w:numPr>
          <w:ilvl w:val="0"/>
          <w:numId w:val="1"/>
        </w:numPr>
        <w:shd w:val="clear" w:color="auto" w:fill="FFFFFF"/>
        <w:spacing w:after="200" w:line="276" w:lineRule="auto"/>
        <w:ind w:left="644"/>
        <w:jc w:val="both"/>
        <w:rPr>
          <w:rFonts w:ascii="Arial Narrow" w:hAnsi="Arial Narrow" w:cs="Arial"/>
          <w:iCs/>
          <w:color w:val="000000"/>
        </w:rPr>
      </w:pPr>
      <w:r w:rsidRPr="00BC6403">
        <w:rPr>
          <w:rFonts w:ascii="Arial Narrow" w:hAnsi="Arial Narrow" w:cs="Arial"/>
          <w:iCs/>
          <w:color w:val="000000"/>
        </w:rPr>
        <w:t xml:space="preserve"> Γενετική </w:t>
      </w:r>
      <w:r w:rsidRPr="00BC6403">
        <w:rPr>
          <w:rFonts w:ascii="Arial Narrow" w:hAnsi="Arial Narrow" w:cs="Arial"/>
          <w:bCs/>
        </w:rPr>
        <w:t xml:space="preserve">(Θεωρία) </w:t>
      </w:r>
      <w:r w:rsidRPr="00BC6403">
        <w:rPr>
          <w:rFonts w:ascii="Arial Narrow" w:hAnsi="Arial Narrow" w:cs="Arial"/>
          <w:iCs/>
          <w:color w:val="000000"/>
        </w:rPr>
        <w:t xml:space="preserve">ΠΕ σε αντιστοιχία με την Γενετική  </w:t>
      </w:r>
      <w:r w:rsidRPr="00BC6403">
        <w:rPr>
          <w:rFonts w:ascii="Arial Narrow" w:hAnsi="Arial Narrow" w:cs="Arial"/>
          <w:bCs/>
        </w:rPr>
        <w:t xml:space="preserve">(Θεωρία ) </w:t>
      </w:r>
      <w:r w:rsidRPr="00BC6403">
        <w:rPr>
          <w:rFonts w:ascii="Arial Narrow" w:hAnsi="Arial Narrow" w:cs="Arial"/>
          <w:iCs/>
          <w:color w:val="000000"/>
        </w:rPr>
        <w:t>Τ.Ε.</w:t>
      </w:r>
    </w:p>
    <w:p w:rsidR="00DC4226" w:rsidRPr="00BC6403" w:rsidRDefault="00DC4226" w:rsidP="00DC4226">
      <w:pPr>
        <w:pStyle w:val="a3"/>
        <w:tabs>
          <w:tab w:val="left" w:pos="2187"/>
        </w:tabs>
        <w:jc w:val="both"/>
        <w:rPr>
          <w:rFonts w:ascii="Arial Narrow" w:hAnsi="Arial Narrow" w:cs="Arial"/>
          <w:iCs/>
          <w:color w:val="000000"/>
        </w:rPr>
      </w:pPr>
      <w:r w:rsidRPr="00BC6403">
        <w:rPr>
          <w:rFonts w:ascii="Arial Narrow" w:hAnsi="Arial Narrow"/>
        </w:rPr>
        <w:t>-Νοσηλευτική Διοίκηση/ Διοίκηση Υπηρεσιών Υγείας (Θ)</w:t>
      </w:r>
      <w:r w:rsidRPr="00BC6403">
        <w:rPr>
          <w:rFonts w:ascii="Arial Narrow" w:hAnsi="Arial Narrow" w:cs="Arial"/>
          <w:iCs/>
          <w:color w:val="000000"/>
        </w:rPr>
        <w:t xml:space="preserve"> σε αντιστοιχία με την </w:t>
      </w:r>
      <w:r w:rsidRPr="00BC6403">
        <w:rPr>
          <w:rFonts w:ascii="Arial Narrow" w:hAnsi="Arial Narrow"/>
        </w:rPr>
        <w:t>Νοσηλευτική Διοίκηση</w:t>
      </w:r>
      <w:r w:rsidRPr="00BC6403">
        <w:rPr>
          <w:rFonts w:ascii="Arial Narrow" w:hAnsi="Arial Narrow" w:cs="Arial"/>
          <w:bCs/>
        </w:rPr>
        <w:t xml:space="preserve"> (Θεωρία ) </w:t>
      </w:r>
      <w:r w:rsidRPr="00BC6403">
        <w:rPr>
          <w:rFonts w:ascii="Arial Narrow" w:hAnsi="Arial Narrow" w:cs="Arial"/>
          <w:iCs/>
          <w:color w:val="000000"/>
        </w:rPr>
        <w:t>Τ.Ε.</w:t>
      </w:r>
    </w:p>
    <w:p w:rsidR="00DC4226" w:rsidRPr="00BC6403" w:rsidRDefault="00DC4226" w:rsidP="00DC4226">
      <w:pPr>
        <w:tabs>
          <w:tab w:val="left" w:pos="2187"/>
        </w:tabs>
        <w:ind w:left="360"/>
        <w:jc w:val="both"/>
        <w:rPr>
          <w:rFonts w:ascii="Arial Narrow" w:hAnsi="Arial Narrow" w:cs="Arial"/>
          <w:color w:val="FF0000"/>
        </w:rPr>
      </w:pPr>
      <w:r w:rsidRPr="00BC6403">
        <w:rPr>
          <w:rFonts w:ascii="Arial Narrow" w:hAnsi="Arial Narrow" w:cs="Arial"/>
        </w:rPr>
        <w:t xml:space="preserve">-Κοινοτική Νοσηλευτική ΙΙ (Θ+Ε) ΠΕ </w:t>
      </w:r>
      <w:r w:rsidRPr="00BC6403">
        <w:rPr>
          <w:rFonts w:ascii="Arial Narrow" w:hAnsi="Arial Narrow"/>
        </w:rPr>
        <w:t xml:space="preserve">σε αντιστοιχία με την  </w:t>
      </w:r>
      <w:r w:rsidRPr="00BC6403">
        <w:rPr>
          <w:rFonts w:ascii="Arial Narrow" w:hAnsi="Arial Narrow" w:cs="Arial"/>
        </w:rPr>
        <w:t xml:space="preserve">Κοινοτική Νοσηλευτική ΙΙ (Θ+Ε) </w:t>
      </w:r>
      <w:r w:rsidRPr="00BC6403">
        <w:rPr>
          <w:rFonts w:ascii="Arial Narrow" w:hAnsi="Arial Narrow"/>
        </w:rPr>
        <w:t>ΤΕ</w:t>
      </w:r>
    </w:p>
    <w:p w:rsidR="00DC4226" w:rsidRPr="00BC6403" w:rsidRDefault="00DC4226" w:rsidP="00DC4226">
      <w:pPr>
        <w:tabs>
          <w:tab w:val="left" w:pos="7488"/>
        </w:tabs>
        <w:ind w:left="426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-  Διατροφή /Διαιτολόγια (Θ) ΠΕ</w:t>
      </w:r>
      <w:r w:rsidRPr="00BC6403">
        <w:rPr>
          <w:rFonts w:ascii="Arial Narrow" w:hAnsi="Arial Narrow"/>
        </w:rPr>
        <w:t xml:space="preserve"> σε αντιστοιχία με την Διαιτητική - Διατροφ</w:t>
      </w:r>
      <w:r w:rsidRPr="00BC6403">
        <w:rPr>
          <w:rFonts w:ascii="Arial Narrow" w:hAnsi="Arial Narrow" w:cs="Arial"/>
        </w:rPr>
        <w:t xml:space="preserve">ή (Θ) </w:t>
      </w:r>
      <w:r w:rsidRPr="00BC6403">
        <w:rPr>
          <w:rFonts w:ascii="Arial Narrow" w:hAnsi="Arial Narrow"/>
        </w:rPr>
        <w:t>ΤΕ</w:t>
      </w:r>
    </w:p>
    <w:p w:rsidR="00DC4226" w:rsidRPr="00BC6403" w:rsidRDefault="00DC4226" w:rsidP="00DC4226">
      <w:pPr>
        <w:tabs>
          <w:tab w:val="left" w:pos="7488"/>
        </w:tabs>
        <w:ind w:left="426"/>
        <w:jc w:val="both"/>
        <w:rPr>
          <w:rFonts w:ascii="Arial Narrow" w:hAnsi="Arial Narrow" w:cs="Arial"/>
        </w:rPr>
      </w:pPr>
      <w:r w:rsidRPr="00BC6403">
        <w:rPr>
          <w:rFonts w:ascii="Arial Narrow" w:hAnsi="Arial Narrow" w:cs="Arial"/>
        </w:rPr>
        <w:t>-Νοσηλευτική Φροντίδα Ηλικιωμένων (Θ)</w:t>
      </w:r>
      <w:r w:rsidRPr="00BC6403">
        <w:rPr>
          <w:rFonts w:ascii="Arial Narrow" w:hAnsi="Arial Narrow"/>
        </w:rPr>
        <w:t xml:space="preserve"> σε αντιστοιχία με την Γεροντολογ</w:t>
      </w:r>
      <w:r w:rsidRPr="00BC6403">
        <w:rPr>
          <w:rFonts w:ascii="Arial Narrow" w:hAnsi="Arial Narrow" w:cs="Arial"/>
        </w:rPr>
        <w:t xml:space="preserve">ική Νοσηλευτική ΙΙ (Θ) </w:t>
      </w:r>
      <w:r w:rsidRPr="00BC6403">
        <w:rPr>
          <w:rFonts w:ascii="Arial Narrow" w:hAnsi="Arial Narrow"/>
        </w:rPr>
        <w:t>ΤΕ</w:t>
      </w:r>
    </w:p>
    <w:p w:rsidR="00752092" w:rsidRDefault="00752092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752092" w:rsidRPr="00FC6E41" w:rsidRDefault="00752092" w:rsidP="00D52DEE">
      <w:pPr>
        <w:ind w:left="644"/>
        <w:jc w:val="both"/>
        <w:rPr>
          <w:rFonts w:ascii="Arial Narrow" w:hAnsi="Arial Narrow" w:cs="Arial"/>
          <w:bCs/>
          <w:sz w:val="22"/>
          <w:szCs w:val="22"/>
        </w:rPr>
      </w:pP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EE353D" w:rsidRDefault="00EB7998" w:rsidP="00EB7998">
      <w:pPr>
        <w:jc w:val="both"/>
        <w:rPr>
          <w:rFonts w:ascii="Arial Narrow" w:hAnsi="Arial Narrow"/>
          <w:b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752092">
        <w:rPr>
          <w:rFonts w:ascii="Arial Narrow" w:hAnsi="Arial Narrow"/>
          <w:b/>
        </w:rPr>
        <w:t>δεν πρέπει να υπερβαίνουν τις 34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752092">
        <w:rPr>
          <w:rFonts w:ascii="Arial Narrow" w:hAnsi="Arial Narrow"/>
          <w:b/>
        </w:rPr>
        <w:t xml:space="preserve"> το Ζ΄ τυπικό εξάμηνο και τις 42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71C3F"/>
    <w:rsid w:val="000B39FC"/>
    <w:rsid w:val="000B3F81"/>
    <w:rsid w:val="000D3E5F"/>
    <w:rsid w:val="00102FB3"/>
    <w:rsid w:val="001D7E2E"/>
    <w:rsid w:val="002172DD"/>
    <w:rsid w:val="002E1B23"/>
    <w:rsid w:val="00341893"/>
    <w:rsid w:val="003534FA"/>
    <w:rsid w:val="00382153"/>
    <w:rsid w:val="003D3E38"/>
    <w:rsid w:val="00404752"/>
    <w:rsid w:val="00411566"/>
    <w:rsid w:val="00432043"/>
    <w:rsid w:val="0049477A"/>
    <w:rsid w:val="00517AC5"/>
    <w:rsid w:val="00527A03"/>
    <w:rsid w:val="0055727F"/>
    <w:rsid w:val="00565F5A"/>
    <w:rsid w:val="0059219E"/>
    <w:rsid w:val="005D6174"/>
    <w:rsid w:val="00711D25"/>
    <w:rsid w:val="00752092"/>
    <w:rsid w:val="00753A37"/>
    <w:rsid w:val="00761574"/>
    <w:rsid w:val="00806B80"/>
    <w:rsid w:val="00881D45"/>
    <w:rsid w:val="008B1C6E"/>
    <w:rsid w:val="008F7AFC"/>
    <w:rsid w:val="00923D79"/>
    <w:rsid w:val="009547C1"/>
    <w:rsid w:val="009F5221"/>
    <w:rsid w:val="00A26041"/>
    <w:rsid w:val="00A6299A"/>
    <w:rsid w:val="00A90133"/>
    <w:rsid w:val="00AD086C"/>
    <w:rsid w:val="00AF63DB"/>
    <w:rsid w:val="00B37893"/>
    <w:rsid w:val="00B718CC"/>
    <w:rsid w:val="00C14AE1"/>
    <w:rsid w:val="00CA3B40"/>
    <w:rsid w:val="00CB0224"/>
    <w:rsid w:val="00D02081"/>
    <w:rsid w:val="00D52DEE"/>
    <w:rsid w:val="00D613CE"/>
    <w:rsid w:val="00DC4226"/>
    <w:rsid w:val="00EB7998"/>
    <w:rsid w:val="00EE353D"/>
    <w:rsid w:val="00F10743"/>
    <w:rsid w:val="00F42FA5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link w:val="Char"/>
    <w:uiPriority w:val="34"/>
    <w:qFormat/>
    <w:rsid w:val="00341893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qFormat/>
    <w:locked/>
    <w:rsid w:val="00DC422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6</cp:revision>
  <cp:lastPrinted>2021-10-18T09:30:00Z</cp:lastPrinted>
  <dcterms:created xsi:type="dcterms:W3CDTF">2022-04-13T08:28:00Z</dcterms:created>
  <dcterms:modified xsi:type="dcterms:W3CDTF">2023-03-17T12:02:00Z</dcterms:modified>
</cp:coreProperties>
</file>