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CB" w:rsidRDefault="00985BCB">
      <w:pPr>
        <w:rPr>
          <w:rFonts w:ascii="Arial" w:hAnsi="Arial" w:cs="Arial"/>
        </w:rPr>
      </w:pPr>
      <w:r w:rsidRPr="00985BCB">
        <w:rPr>
          <w:rFonts w:ascii="Arial" w:hAnsi="Arial" w:cs="Arial"/>
        </w:rPr>
        <w:t xml:space="preserve">Οδηγίες για την προσέλευση </w:t>
      </w:r>
      <w:r>
        <w:rPr>
          <w:rFonts w:ascii="Arial" w:hAnsi="Arial" w:cs="Arial"/>
        </w:rPr>
        <w:t>στις γραπτές εξετάσεις του χειμερινού εξάμηνου του ακαδημαϊκού έτους 2021-2022, στο</w:t>
      </w:r>
      <w:r w:rsidR="00794529">
        <w:rPr>
          <w:rFonts w:ascii="Arial" w:hAnsi="Arial" w:cs="Arial"/>
        </w:rPr>
        <w:t xml:space="preserve"> Τμήμα Νοσηλευτικής Παράρτημα Διδυμοτείχου</w:t>
      </w:r>
      <w:r w:rsidR="00350C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985BCB" w:rsidRDefault="00985BCB">
      <w:pPr>
        <w:rPr>
          <w:rFonts w:ascii="Arial" w:hAnsi="Arial" w:cs="Arial"/>
        </w:rPr>
      </w:pPr>
    </w:p>
    <w:p w:rsidR="00985BCB" w:rsidRDefault="00985BCB">
      <w:pPr>
        <w:rPr>
          <w:rFonts w:ascii="Arial" w:hAnsi="Arial" w:cs="Arial"/>
        </w:rPr>
      </w:pPr>
      <w:r>
        <w:rPr>
          <w:rFonts w:ascii="Arial" w:hAnsi="Arial" w:cs="Arial"/>
        </w:rPr>
        <w:t>Οι φοιτητές του Τμήματος που θα συμμετάσχουν στις γραπτές εξετάσεις του χειμερινού εξαμήνου του ακαδημαϊκού έτους 2021-2022 στο Τμήμα Νοσηλευτικής</w:t>
      </w:r>
      <w:r w:rsidR="00794529" w:rsidRPr="00794529">
        <w:rPr>
          <w:rFonts w:ascii="Arial" w:hAnsi="Arial" w:cs="Arial"/>
        </w:rPr>
        <w:t xml:space="preserve"> </w:t>
      </w:r>
      <w:r w:rsidR="00794529">
        <w:rPr>
          <w:rFonts w:ascii="Arial" w:hAnsi="Arial" w:cs="Arial"/>
        </w:rPr>
        <w:t>Παράρτημα Διδυμοτείχου</w:t>
      </w:r>
      <w:r>
        <w:rPr>
          <w:rFonts w:ascii="Arial" w:hAnsi="Arial" w:cs="Arial"/>
        </w:rPr>
        <w:t>, για την προσέλευση τους στο Τμήμα  θα πρέπει:</w:t>
      </w:r>
    </w:p>
    <w:p w:rsidR="00985BCB" w:rsidRPr="00985BCB" w:rsidRDefault="00985BCB">
      <w:pPr>
        <w:rPr>
          <w:rFonts w:ascii="Arial" w:hAnsi="Arial" w:cs="Arial"/>
        </w:rPr>
      </w:pPr>
    </w:p>
    <w:p w:rsidR="00985BCB" w:rsidRDefault="00985BC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647"/>
      </w:tblGrid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7" w:type="dxa"/>
            <w:hideMark/>
          </w:tcPr>
          <w:p w:rsidR="00985BCB" w:rsidRDefault="00356EEE" w:rsidP="00356EEE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Όσοι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δεν έχουν κάνει εγγραφή στο </w:t>
            </w:r>
            <w:proofErr w:type="spellStart"/>
            <w:r w:rsidR="00985BCB">
              <w:rPr>
                <w:rFonts w:ascii="Arial" w:hAnsi="Arial" w:cs="Arial"/>
                <w:sz w:val="22"/>
                <w:szCs w:val="22"/>
                <w:lang w:val="en-US" w:eastAsia="en-US"/>
              </w:rPr>
              <w:t>edupass</w:t>
            </w:r>
            <w:proofErr w:type="spellEnd"/>
            <w:r w:rsidR="007945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να κάνουν εγγραφή και να δηλώσουν το πιστοποιητικό εμβολιασμού, ή το πιστοποιητικό </w:t>
            </w:r>
            <w:proofErr w:type="spellStart"/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νόσησης</w:t>
            </w:r>
            <w:proofErr w:type="spellEnd"/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ή το αποτελέσματα αρνητικού εργαστηριακού ελέγχου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(PCR) εβδομήντα δύο (72) </w:t>
            </w:r>
            <w:r w:rsidR="00B77B3A">
              <w:rPr>
                <w:rFonts w:ascii="Arial" w:hAnsi="Arial" w:cs="Arial"/>
                <w:sz w:val="22"/>
                <w:szCs w:val="22"/>
                <w:lang w:eastAsia="en-US"/>
              </w:rPr>
              <w:t>ώρες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πριν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ή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του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γρή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γορου τεστ αντιγόνου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rapid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)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σαράντα οχτώ (48) ώρες πριν την προβλεπόμενη ώρα έναρξης της εξέτασης του μαθήματος.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7" w:type="dxa"/>
            <w:hideMark/>
          </w:tcPr>
          <w:p w:rsidR="00985BCB" w:rsidRDefault="00356EEE" w:rsidP="001E5081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ind w:right="-108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Όσοι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ήρθαν σε επαφή με επιβεβαιωμένο κρούσμα θα μπορούν να προσέρχονται στις εξετάσεις ΜΟΝΟ με αποτελέσματα αρνητικού εργαστηριακού ελέγχου κατόπιν διεξαγωγής μοριακού τεστ (PCR) έως εβδομήντα δύο (72) ωρών ή γρήγορου τεστ αντιγόνου (</w:t>
            </w:r>
            <w:proofErr w:type="spellStart"/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rapid</w:t>
            </w:r>
            <w:proofErr w:type="spellEnd"/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έως </w:t>
            </w:r>
            <w:r w:rsidR="001E5081">
              <w:rPr>
                <w:rFonts w:ascii="Arial" w:hAnsi="Arial" w:cs="Arial"/>
                <w:sz w:val="22"/>
                <w:szCs w:val="22"/>
                <w:lang w:eastAsia="en-US"/>
              </w:rPr>
              <w:t xml:space="preserve">σαράντα οχτώ (48) ώρες πριν την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προβλεπόμενη ώρα έναρξης της εξέτασης του μαθήματος.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47" w:type="dxa"/>
            <w:hideMark/>
          </w:tcPr>
          <w:p w:rsidR="00985BCB" w:rsidRDefault="00985BCB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Οι φοιτητές του Τμήματος οι οποίοι δεν μπορούν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υποβάλλουν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δήλωση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στην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ατφόρμα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edupass</w:t>
            </w:r>
            <w:proofErr w:type="spellEnd"/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(π.χ.</w:t>
            </w:r>
            <w:r w:rsidR="00A62ABC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αλλοδαποί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άλλοι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φοιτητές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που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δεν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διαθέτουν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Α.Μ.Κ.Α.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κωδικούς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ΤAXISNET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ή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κωδικούς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>για</w:t>
            </w:r>
            <w:r w:rsidR="00794529"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εναλλακτικό τρόπο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σύνδεσης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και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αυθεντικοποίησης</w:t>
            </w:r>
            <w:proofErr w:type="spellEnd"/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στην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ως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άνω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π</w:t>
            </w:r>
            <w:r>
              <w:rPr>
                <w:rFonts w:ascii="Arial" w:hAnsi="Arial" w:cs="Arial"/>
                <w:color w:val="383838"/>
                <w:spacing w:val="1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ατφόρμα), έχουν την δυνατότητα να προσέλθουν στις εξετάσεις: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738"/>
              <w:gridCol w:w="7654"/>
            </w:tblGrid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α.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είτε 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με πιστοποιητικό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εμβολιασμού σύμφωνα με την παρ. 2 του άρθρου 9 της υπ' αριθμ. Δ1α/ΓΠ.οικ.746/08.01.2022 (Β'32) Κ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οινής Υπουργικής Απόφασης, όπως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αυτή εκάστοτε ισχύει.</w:t>
                  </w:r>
                </w:p>
              </w:tc>
            </w:tr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β.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985BCB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είτε 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με πιστοποιητικό</w:t>
                  </w:r>
                  <w:r w:rsidR="00794529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νόσησης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σύμφωνα  με την  παρ.  3 του  άρθρου  9 της υπ' αριθμ. Δ1α/ΓΠ.οικ. 746/08.01.2022 (Β'32) Κ</w:t>
                  </w:r>
                  <w:r w:rsidR="002D07CE"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οινής Υπουργικής Απόφασης, όπως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 xml:space="preserve"> αυτή εκάστοτε ισχύει.</w:t>
                  </w:r>
                </w:p>
              </w:tc>
            </w:tr>
            <w:tr w:rsid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γ.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794529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ίτε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F060E">
                    <w:rPr>
                      <w:rFonts w:ascii="Arial" w:hAnsi="Arial" w:cs="Arial"/>
                      <w:color w:val="151515"/>
                      <w:spacing w:val="19"/>
                      <w:sz w:val="22"/>
                      <w:szCs w:val="22"/>
                      <w:lang w:eastAsia="en-US"/>
                    </w:rPr>
                    <w:t>μ</w:t>
                  </w:r>
                  <w:r w:rsidR="002D07CE">
                    <w:rPr>
                      <w:rFonts w:ascii="Arial" w:hAnsi="Arial" w:cs="Arial"/>
                      <w:color w:val="151515"/>
                      <w:spacing w:val="19"/>
                      <w:sz w:val="22"/>
                      <w:szCs w:val="22"/>
                      <w:lang w:eastAsia="en-US"/>
                    </w:rPr>
                    <w:t>ε</w:t>
                  </w:r>
                  <w:r w:rsidR="00277C38">
                    <w:rPr>
                      <w:rFonts w:ascii="Arial" w:hAnsi="Arial" w:cs="Arial"/>
                      <w:color w:val="151515"/>
                      <w:spacing w:val="19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βεβαίωση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αρνητικού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εργαστηριακού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>ε</w:t>
                  </w:r>
                  <w:r w:rsidR="00985BCB"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λέγχ</w:t>
                  </w:r>
                  <w:r w:rsidR="00985BCB"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>ου</w:t>
                  </w:r>
                  <w:r w:rsidR="00277C38">
                    <w:rPr>
                      <w:rFonts w:ascii="Arial" w:hAnsi="Arial" w:cs="Arial"/>
                      <w:color w:val="151515"/>
                      <w:spacing w:val="1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κατόπιν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διε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ξ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ω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ής</w:t>
                  </w:r>
                  <w:r w:rsidR="00277C38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μοριακού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(PCR)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εβδομήντα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δύο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(72)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16F17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ώ</w:t>
                  </w:r>
                  <w:r w:rsidR="003C14C4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ρες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D16F17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πριν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ή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2"/>
                      <w:sz w:val="22"/>
                      <w:szCs w:val="22"/>
                      <w:lang w:eastAsia="en-US"/>
                    </w:rPr>
                    <w:t>ρή</w:t>
                  </w:r>
                  <w:r w:rsidR="00985BCB">
                    <w:rPr>
                      <w:rFonts w:ascii="Arial" w:hAnsi="Arial" w:cs="Arial"/>
                      <w:color w:val="383838"/>
                      <w:spacing w:val="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2"/>
                      <w:sz w:val="22"/>
                      <w:szCs w:val="22"/>
                      <w:lang w:eastAsia="en-US"/>
                    </w:rPr>
                    <w:t>ορου</w:t>
                  </w:r>
                  <w:r w:rsidR="00277C38">
                    <w:rPr>
                      <w:rFonts w:ascii="Arial" w:hAnsi="Arial" w:cs="Arial"/>
                      <w:color w:val="151515"/>
                      <w:spacing w:val="2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αντι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όνου</w:t>
                  </w:r>
                  <w:r w:rsidR="00277C38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(</w:t>
                  </w:r>
                  <w:proofErr w:type="spellStart"/>
                  <w:r w:rsidR="00985BCB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rapid</w:t>
                  </w:r>
                  <w:proofErr w:type="spellEnd"/>
                  <w:r w:rsidR="00985BCB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)</w:t>
                  </w:r>
                  <w:r w:rsidR="00277C38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σαράντα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οχτώ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pacing w:val="-3"/>
                      <w:sz w:val="22"/>
                      <w:szCs w:val="22"/>
                      <w:lang w:eastAsia="en-US"/>
                    </w:rPr>
                    <w:t>(</w:t>
                  </w:r>
                  <w:r w:rsidR="00985BCB">
                    <w:rPr>
                      <w:rFonts w:ascii="Arial" w:hAnsi="Arial" w:cs="Arial"/>
                      <w:color w:val="151515"/>
                      <w:spacing w:val="-2"/>
                      <w:sz w:val="22"/>
                      <w:szCs w:val="22"/>
                      <w:lang w:eastAsia="en-US"/>
                    </w:rPr>
                    <w:t>48)</w:t>
                  </w:r>
                  <w:r w:rsidR="00277C38">
                    <w:rPr>
                      <w:rFonts w:ascii="Arial" w:hAnsi="Arial" w:cs="Arial"/>
                      <w:color w:val="151515"/>
                      <w:spacing w:val="-2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ώρες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πριν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την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προβλεπόμενη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ώρα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>έναρξης</w:t>
                  </w:r>
                  <w:r w:rsidR="00277C38">
                    <w:rPr>
                      <w:rFonts w:ascii="Arial" w:hAnsi="Arial" w:cs="Arial"/>
                      <w:color w:val="28282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της 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ε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ξ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έτασης</w:t>
                  </w:r>
                  <w:r w:rsidR="00277C38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του</w:t>
                  </w:r>
                  <w:r w:rsidR="00277C38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μαθήματος.</w:t>
                  </w:r>
                </w:p>
              </w:tc>
            </w:tr>
          </w:tbl>
          <w:p w:rsidR="00985BCB" w:rsidRDefault="00985BCB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47" w:type="dxa"/>
            <w:hideMark/>
          </w:tcPr>
          <w:p w:rsidR="00985BCB" w:rsidRDefault="002F70C5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α έχουν μαζί τους την αστυνομική ταυτότητα, </w:t>
            </w:r>
            <w:r w:rsidR="002D07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καθώς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και το πιστοποιητικό για το </w:t>
            </w:r>
            <w:proofErr w:type="spellStart"/>
            <w:r w:rsidR="002D07CE">
              <w:rPr>
                <w:rFonts w:ascii="Arial" w:hAnsi="Arial" w:cs="Arial"/>
                <w:sz w:val="22"/>
                <w:szCs w:val="22"/>
                <w:lang w:val="en-US" w:eastAsia="en-US"/>
              </w:rPr>
              <w:t>covid</w:t>
            </w:r>
            <w:proofErr w:type="spellEnd"/>
            <w:r w:rsidR="002D07CE" w:rsidRPr="00794529"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 w:rsidR="00585B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σε έντυπη ή ηλεκτρονική μορφή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Σε αντίθετη περίπτωση </w:t>
            </w:r>
            <w:r w:rsidR="00985BCB">
              <w:rPr>
                <w:rFonts w:ascii="Arial" w:hAnsi="Arial" w:cs="Arial"/>
                <w:sz w:val="22"/>
                <w:szCs w:val="22"/>
                <w:lang w:eastAsia="en-US"/>
              </w:rPr>
              <w:t>δεν θα μπορούν να συμμετέχουν στις εξετάσεις.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hideMark/>
          </w:tcPr>
          <w:p w:rsidR="00985BCB" w:rsidRDefault="00985BCB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Ο έλεγχος όλων των πιστοποιητικών θα </w:t>
            </w:r>
            <w:r w:rsidR="002D07CE">
              <w:rPr>
                <w:rFonts w:ascii="Arial" w:hAnsi="Arial" w:cs="Arial"/>
                <w:sz w:val="22"/>
                <w:szCs w:val="22"/>
                <w:lang w:eastAsia="en-US"/>
              </w:rPr>
              <w:t xml:space="preserve">γίνεται μέσα στις αίθουσες πριν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δοθούν τα θέματα των εξετάσεων. </w:t>
            </w:r>
          </w:p>
        </w:tc>
      </w:tr>
      <w:tr w:rsidR="00985BCB" w:rsidTr="00985BCB">
        <w:tc>
          <w:tcPr>
            <w:tcW w:w="817" w:type="dxa"/>
            <w:hideMark/>
          </w:tcPr>
          <w:p w:rsidR="00985BCB" w:rsidRDefault="00985BCB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hideMark/>
          </w:tcPr>
          <w:p w:rsidR="00985BCB" w:rsidRDefault="00985BCB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Οι φοιτητές οι οποίοι θα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νοσούν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με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λ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οίμωξη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και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δεν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θα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συμμετάσχουν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στις 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ξε</w:t>
            </w:r>
            <w:r>
              <w:rPr>
                <w:rFonts w:ascii="Arial" w:hAnsi="Arial" w:cs="Arial"/>
                <w:color w:val="151515"/>
                <w:spacing w:val="1"/>
                <w:sz w:val="22"/>
                <w:szCs w:val="22"/>
                <w:lang w:eastAsia="en-US"/>
              </w:rPr>
              <w:t>τάσεις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,</w:t>
            </w:r>
            <w:r w:rsidR="00794529"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μπορούν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να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εξεταστούν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μαθήματα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στα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οποία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υποχρεωτικώς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απουσία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ζ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αν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κατόπιν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συνεννόησης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με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τον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διδάσκοντα</w:t>
            </w:r>
            <w:r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>,</w:t>
            </w:r>
            <w:r w:rsidR="00794529">
              <w:rPr>
                <w:rFonts w:ascii="Arial" w:hAnsi="Arial" w:cs="Arial"/>
                <w:color w:val="38383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>έχοντας</w:t>
            </w:r>
            <w:r w:rsidR="00794529">
              <w:rPr>
                <w:rFonts w:ascii="Arial" w:hAnsi="Arial" w:cs="Arial"/>
                <w:color w:val="28282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ως</w:t>
            </w:r>
            <w:r w:rsidR="00794529"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151515"/>
                <w:sz w:val="22"/>
                <w:szCs w:val="22"/>
                <w:lang w:eastAsia="en-US"/>
              </w:rPr>
              <w:t>τεκμήριο: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738"/>
              <w:gridCol w:w="7654"/>
            </w:tblGrid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α.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D03CA9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ην παρουσίαση θετικού μοριακού </w:t>
                  </w:r>
                  <w:proofErr w:type="spellStart"/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τέστ</w:t>
                  </w:r>
                  <w:proofErr w:type="spellEnd"/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(PCR) κατά το χρόνο εξέτασης.</w:t>
                  </w:r>
                </w:p>
              </w:tc>
            </w:tr>
            <w:tr w:rsidR="00985BCB" w:rsidTr="00985BCB"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2D07CE" w:rsidP="00794529">
                  <w:pPr>
                    <w:pStyle w:val="a8"/>
                    <w:tabs>
                      <w:tab w:val="clear" w:pos="360"/>
                      <w:tab w:val="left" w:pos="709"/>
                    </w:tabs>
                    <w:kinsoku w:val="0"/>
                    <w:overflowPunct w:val="0"/>
                    <w:spacing w:before="3" w:line="240" w:lineRule="auto"/>
                    <w:jc w:val="left"/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β.</w:t>
                  </w:r>
                </w:p>
              </w:tc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5BCB" w:rsidRDefault="00794529" w:rsidP="00794529">
                  <w:pPr>
                    <w:pStyle w:val="a8"/>
                    <w:kinsoku w:val="0"/>
                    <w:overflowPunct w:val="0"/>
                    <w:spacing w:line="242" w:lineRule="auto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ην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παρουσίαση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θετικού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τεστ</w:t>
                  </w:r>
                  <w:r w:rsidR="009A3370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αντι</w:t>
                  </w:r>
                  <w:r w:rsidR="00985BCB">
                    <w:rPr>
                      <w:rFonts w:ascii="Arial" w:hAnsi="Arial" w:cs="Arial"/>
                      <w:color w:val="383838"/>
                      <w:spacing w:val="-1"/>
                      <w:sz w:val="22"/>
                      <w:szCs w:val="22"/>
                      <w:lang w:eastAsia="en-US"/>
                    </w:rPr>
                    <w:t>γ</w:t>
                  </w:r>
                  <w:r w:rsidR="00985BCB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>όνου</w:t>
                  </w:r>
                  <w:r w:rsidR="00585B65">
                    <w:rPr>
                      <w:rFonts w:ascii="Arial" w:hAnsi="Arial" w:cs="Arial"/>
                      <w:color w:val="151515"/>
                      <w:spacing w:val="-1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(</w:t>
                  </w:r>
                  <w:proofErr w:type="spellStart"/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rapid</w:t>
                  </w:r>
                  <w:proofErr w:type="spellEnd"/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)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κατά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το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χρόνο</w:t>
                  </w:r>
                  <w:r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85BCB">
                    <w:rPr>
                      <w:rFonts w:ascii="Arial" w:hAnsi="Arial" w:cs="Arial"/>
                      <w:color w:val="151515"/>
                      <w:sz w:val="22"/>
                      <w:szCs w:val="22"/>
                      <w:lang w:eastAsia="en-US"/>
                    </w:rPr>
                    <w:t>εξέτασης</w:t>
                  </w:r>
                </w:p>
              </w:tc>
            </w:tr>
          </w:tbl>
          <w:p w:rsidR="00985BCB" w:rsidRDefault="00985BCB" w:rsidP="00794529">
            <w:pPr>
              <w:pStyle w:val="a8"/>
              <w:tabs>
                <w:tab w:val="clear" w:pos="360"/>
                <w:tab w:val="left" w:pos="709"/>
              </w:tabs>
              <w:kinsoku w:val="0"/>
              <w:overflowPunct w:val="0"/>
              <w:spacing w:before="3" w:line="240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37A84" w:rsidRDefault="00837A84" w:rsidP="00985BCB">
      <w:pPr>
        <w:jc w:val="both"/>
      </w:pPr>
    </w:p>
    <w:p w:rsidR="002F3175" w:rsidRDefault="002F3175" w:rsidP="00985BCB">
      <w:pPr>
        <w:jc w:val="both"/>
      </w:pPr>
    </w:p>
    <w:p w:rsidR="002F3175" w:rsidRPr="005941EE" w:rsidRDefault="002F3175" w:rsidP="002F3175">
      <w:pPr>
        <w:rPr>
          <w:rFonts w:ascii="Arial" w:hAnsi="Arial" w:cs="Arial"/>
          <w:b/>
          <w:sz w:val="22"/>
          <w:szCs w:val="22"/>
        </w:rPr>
      </w:pPr>
      <w:r w:rsidRPr="005941EE">
        <w:rPr>
          <w:rFonts w:ascii="Arial" w:hAnsi="Arial" w:cs="Arial"/>
          <w:b/>
          <w:sz w:val="22"/>
          <w:szCs w:val="22"/>
        </w:rPr>
        <w:t xml:space="preserve">Ευγενική υπενθύμιση για δήλωση στην εφαρμογή </w:t>
      </w:r>
      <w:proofErr w:type="spellStart"/>
      <w:r w:rsidRPr="005941EE">
        <w:rPr>
          <w:rFonts w:ascii="Arial" w:hAnsi="Arial" w:cs="Arial"/>
          <w:b/>
          <w:sz w:val="22"/>
          <w:szCs w:val="22"/>
          <w:lang w:val="en-US"/>
        </w:rPr>
        <w:t>edupass</w:t>
      </w:r>
      <w:proofErr w:type="spellEnd"/>
      <w:r w:rsidR="005941EE" w:rsidRPr="005941EE">
        <w:rPr>
          <w:rFonts w:ascii="Arial" w:hAnsi="Arial" w:cs="Arial"/>
          <w:b/>
          <w:sz w:val="22"/>
          <w:szCs w:val="22"/>
        </w:rPr>
        <w:t xml:space="preserve"> </w:t>
      </w:r>
      <w:r w:rsidRPr="005941EE">
        <w:rPr>
          <w:rFonts w:ascii="Arial" w:hAnsi="Arial" w:cs="Arial"/>
          <w:b/>
          <w:sz w:val="22"/>
          <w:szCs w:val="22"/>
        </w:rPr>
        <w:t xml:space="preserve">από τους φοιτητές </w:t>
      </w:r>
    </w:p>
    <w:p w:rsidR="002F3175" w:rsidRPr="001B5B22" w:rsidRDefault="002F3175" w:rsidP="002F3175">
      <w:pPr>
        <w:rPr>
          <w:rFonts w:ascii="Arial" w:hAnsi="Arial" w:cs="Arial"/>
          <w:sz w:val="22"/>
          <w:szCs w:val="22"/>
        </w:rPr>
      </w:pPr>
    </w:p>
    <w:p w:rsidR="002F3175" w:rsidRPr="001B5B22" w:rsidRDefault="002F3175" w:rsidP="002F3175">
      <w:pPr>
        <w:rPr>
          <w:rFonts w:ascii="Arial" w:hAnsi="Arial" w:cs="Arial"/>
          <w:sz w:val="22"/>
          <w:szCs w:val="22"/>
        </w:rPr>
      </w:pPr>
      <w:r w:rsidRPr="001B5B22">
        <w:rPr>
          <w:rFonts w:ascii="Arial" w:hAnsi="Arial" w:cs="Arial"/>
          <w:sz w:val="22"/>
          <w:szCs w:val="22"/>
        </w:rPr>
        <w:t>Σας υπενθυμίζουμε ότι οι φοιτητές που βγαίνουν θετικοί σε μοριακό</w:t>
      </w:r>
      <w:r w:rsidRPr="001B5B22">
        <w:rPr>
          <w:rFonts w:ascii="Arial" w:hAnsi="Arial" w:cs="Arial"/>
          <w:sz w:val="22"/>
          <w:szCs w:val="22"/>
          <w:lang w:eastAsia="en-US"/>
        </w:rPr>
        <w:t xml:space="preserve"> τεστ (PCR) </w:t>
      </w:r>
      <w:r w:rsidRPr="001B5B22">
        <w:rPr>
          <w:rFonts w:ascii="Arial" w:hAnsi="Arial" w:cs="Arial"/>
          <w:sz w:val="22"/>
          <w:szCs w:val="22"/>
        </w:rPr>
        <w:t>ή γρήγορο</w:t>
      </w:r>
      <w:r w:rsidRPr="001B5B22">
        <w:rPr>
          <w:rFonts w:ascii="Arial" w:hAnsi="Arial" w:cs="Arial"/>
          <w:sz w:val="22"/>
          <w:szCs w:val="22"/>
          <w:lang w:eastAsia="en-US"/>
        </w:rPr>
        <w:t xml:space="preserve"> τεστ αντιγόνου (</w:t>
      </w:r>
      <w:proofErr w:type="spellStart"/>
      <w:r w:rsidRPr="001B5B22">
        <w:rPr>
          <w:rFonts w:ascii="Arial" w:hAnsi="Arial" w:cs="Arial"/>
          <w:sz w:val="22"/>
          <w:szCs w:val="22"/>
          <w:lang w:eastAsia="en-US"/>
        </w:rPr>
        <w:t>rapid</w:t>
      </w:r>
      <w:proofErr w:type="spellEnd"/>
      <w:r w:rsidRPr="001B5B22">
        <w:rPr>
          <w:rFonts w:ascii="Arial" w:hAnsi="Arial" w:cs="Arial"/>
          <w:sz w:val="22"/>
          <w:szCs w:val="22"/>
          <w:lang w:eastAsia="en-US"/>
        </w:rPr>
        <w:t>)</w:t>
      </w:r>
      <w:r w:rsidRPr="001B5B22">
        <w:rPr>
          <w:rFonts w:ascii="Arial" w:hAnsi="Arial" w:cs="Arial"/>
          <w:sz w:val="22"/>
          <w:szCs w:val="22"/>
        </w:rPr>
        <w:t>, π</w:t>
      </w:r>
      <w:r w:rsidR="00794529" w:rsidRPr="001B5B22">
        <w:rPr>
          <w:rFonts w:ascii="Arial" w:hAnsi="Arial" w:cs="Arial"/>
          <w:sz w:val="22"/>
          <w:szCs w:val="22"/>
        </w:rPr>
        <w:t>ριν από την ημέρα των εξετάσεων</w:t>
      </w:r>
      <w:r w:rsidRPr="001B5B22">
        <w:rPr>
          <w:rFonts w:ascii="Arial" w:hAnsi="Arial" w:cs="Arial"/>
          <w:sz w:val="22"/>
          <w:szCs w:val="22"/>
        </w:rPr>
        <w:t xml:space="preserve">, θα πρέπει να μεριμνήσουν ώστε να ενημερωθεί η εφαρμογή ώστε να ενημερωθεί το </w:t>
      </w:r>
      <w:proofErr w:type="spellStart"/>
      <w:r w:rsidRPr="001B5B22">
        <w:rPr>
          <w:rFonts w:ascii="Arial" w:hAnsi="Arial" w:cs="Arial"/>
          <w:sz w:val="22"/>
          <w:szCs w:val="22"/>
          <w:lang w:val="en-US"/>
        </w:rPr>
        <w:t>edupass</w:t>
      </w:r>
      <w:proofErr w:type="spellEnd"/>
      <w:r w:rsidRPr="001B5B22">
        <w:rPr>
          <w:rFonts w:ascii="Arial" w:hAnsi="Arial" w:cs="Arial"/>
          <w:sz w:val="22"/>
          <w:szCs w:val="22"/>
        </w:rPr>
        <w:t>, είτε από το φαρμακείο είτε από το εργαστήριο που διενέργησε την εξέταση, ώστε να έχουν την δυνατότητα να συμμετάσχουν στις εξετάσεις οι οποίες θα πραγματοποιηθούν μετά</w:t>
      </w:r>
      <w:r w:rsidR="008C60B9" w:rsidRPr="008C60B9">
        <w:rPr>
          <w:rFonts w:ascii="Arial" w:hAnsi="Arial" w:cs="Arial"/>
          <w:sz w:val="22"/>
          <w:szCs w:val="22"/>
        </w:rPr>
        <w:t xml:space="preserve"> </w:t>
      </w:r>
      <w:r w:rsidR="008C60B9">
        <w:rPr>
          <w:rFonts w:ascii="Arial" w:hAnsi="Arial" w:cs="Arial"/>
          <w:sz w:val="22"/>
          <w:szCs w:val="22"/>
        </w:rPr>
        <w:t>από συνεννόηση με τον διδάσκοντα του εκάστοτε μαθήματος</w:t>
      </w:r>
      <w:r w:rsidRPr="001B5B22">
        <w:rPr>
          <w:rFonts w:ascii="Arial" w:hAnsi="Arial" w:cs="Arial"/>
          <w:sz w:val="22"/>
          <w:szCs w:val="22"/>
        </w:rPr>
        <w:t xml:space="preserve">. </w:t>
      </w:r>
    </w:p>
    <w:p w:rsidR="002F3175" w:rsidRDefault="002F3175" w:rsidP="00985BCB">
      <w:pPr>
        <w:jc w:val="both"/>
      </w:pPr>
      <w:bookmarkStart w:id="0" w:name="_GoBack"/>
      <w:bookmarkEnd w:id="0"/>
    </w:p>
    <w:sectPr w:rsidR="002F3175" w:rsidSect="00985BCB">
      <w:pgSz w:w="11906" w:h="16838" w:code="9"/>
      <w:pgMar w:top="993" w:right="849" w:bottom="144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5BCB"/>
    <w:rsid w:val="001B5B22"/>
    <w:rsid w:val="001E5081"/>
    <w:rsid w:val="00277C38"/>
    <w:rsid w:val="002D07CE"/>
    <w:rsid w:val="002D4A0D"/>
    <w:rsid w:val="002D6118"/>
    <w:rsid w:val="002F3175"/>
    <w:rsid w:val="002F70C5"/>
    <w:rsid w:val="00313371"/>
    <w:rsid w:val="00350C2C"/>
    <w:rsid w:val="00356EEE"/>
    <w:rsid w:val="0036604E"/>
    <w:rsid w:val="003B2516"/>
    <w:rsid w:val="003C14C4"/>
    <w:rsid w:val="00585B65"/>
    <w:rsid w:val="005941EE"/>
    <w:rsid w:val="006260EB"/>
    <w:rsid w:val="00773A1D"/>
    <w:rsid w:val="00794529"/>
    <w:rsid w:val="007F060E"/>
    <w:rsid w:val="00837A84"/>
    <w:rsid w:val="008C60B9"/>
    <w:rsid w:val="008E155A"/>
    <w:rsid w:val="00985BCB"/>
    <w:rsid w:val="009A3370"/>
    <w:rsid w:val="00A62ABC"/>
    <w:rsid w:val="00B77B3A"/>
    <w:rsid w:val="00CC2FC1"/>
    <w:rsid w:val="00D03CA9"/>
    <w:rsid w:val="00D16F17"/>
    <w:rsid w:val="00E22021"/>
    <w:rsid w:val="00EC7C6C"/>
    <w:rsid w:val="00FC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ascii="Arial" w:eastAsiaTheme="majorEastAsia" w:hAnsi="Arial" w:cs="Arial"/>
      <w:b/>
      <w:sz w:val="28"/>
      <w:lang w:eastAsia="en-US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rFonts w:ascii="Arial" w:hAnsi="Arial"/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rFonts w:ascii="Arial" w:hAnsi="Arial"/>
      <w:b/>
      <w:bCs/>
      <w:lang w:eastAsia="en-US"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b/>
      <w:szCs w:val="20"/>
      <w:u w:val="single"/>
      <w:lang w:eastAsia="en-US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b/>
      <w:sz w:val="28"/>
      <w:szCs w:val="20"/>
      <w:lang w:eastAsia="en-US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Char0"/>
    <w:unhideWhenUsed/>
    <w:rsid w:val="00985BCB"/>
    <w:pPr>
      <w:tabs>
        <w:tab w:val="left" w:pos="360"/>
      </w:tabs>
      <w:spacing w:line="480" w:lineRule="auto"/>
      <w:jc w:val="both"/>
    </w:pPr>
  </w:style>
  <w:style w:type="character" w:customStyle="1" w:styleId="Char0">
    <w:name w:val="Σώμα κειμένου Char"/>
    <w:basedOn w:val="a0"/>
    <w:link w:val="a8"/>
    <w:rsid w:val="00985BCB"/>
    <w:rPr>
      <w:sz w:val="24"/>
      <w:szCs w:val="24"/>
      <w:lang w:eastAsia="el-GR"/>
    </w:rPr>
  </w:style>
  <w:style w:type="table" w:styleId="a9">
    <w:name w:val="Table Grid"/>
    <w:basedOn w:val="a1"/>
    <w:uiPriority w:val="59"/>
    <w:rsid w:val="0098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B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3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313371"/>
    <w:pPr>
      <w:keepNext/>
      <w:spacing w:line="360" w:lineRule="atLeast"/>
      <w:ind w:left="-426" w:right="-1"/>
      <w:jc w:val="center"/>
      <w:outlineLvl w:val="1"/>
    </w:pPr>
    <w:rPr>
      <w:rFonts w:ascii="Arial" w:eastAsiaTheme="majorEastAsia" w:hAnsi="Arial" w:cs="Arial"/>
      <w:b/>
      <w:sz w:val="28"/>
      <w:lang w:eastAsia="en-US"/>
    </w:rPr>
  </w:style>
  <w:style w:type="paragraph" w:styleId="3">
    <w:name w:val="heading 3"/>
    <w:basedOn w:val="a"/>
    <w:next w:val="a"/>
    <w:link w:val="3Char"/>
    <w:qFormat/>
    <w:rsid w:val="00313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Char"/>
    <w:qFormat/>
    <w:rsid w:val="00313371"/>
    <w:pPr>
      <w:keepNext/>
      <w:tabs>
        <w:tab w:val="left" w:pos="993"/>
      </w:tabs>
      <w:spacing w:line="360" w:lineRule="atLeast"/>
      <w:ind w:right="-334"/>
      <w:jc w:val="center"/>
      <w:outlineLvl w:val="3"/>
    </w:pPr>
    <w:rPr>
      <w:rFonts w:ascii="Arial" w:hAnsi="Arial"/>
      <w:b/>
      <w:bCs/>
      <w:lang w:eastAsia="en-US"/>
    </w:rPr>
  </w:style>
  <w:style w:type="paragraph" w:styleId="5">
    <w:name w:val="heading 5"/>
    <w:basedOn w:val="a"/>
    <w:next w:val="a"/>
    <w:link w:val="5Char"/>
    <w:qFormat/>
    <w:rsid w:val="00313371"/>
    <w:pPr>
      <w:keepNext/>
      <w:tabs>
        <w:tab w:val="left" w:pos="993"/>
      </w:tabs>
      <w:spacing w:line="360" w:lineRule="atLeast"/>
      <w:jc w:val="center"/>
      <w:outlineLvl w:val="4"/>
    </w:pPr>
    <w:rPr>
      <w:rFonts w:ascii="Arial" w:hAnsi="Arial"/>
      <w:b/>
      <w:bCs/>
      <w:lang w:eastAsia="en-US"/>
    </w:rPr>
  </w:style>
  <w:style w:type="paragraph" w:styleId="6">
    <w:name w:val="heading 6"/>
    <w:basedOn w:val="a"/>
    <w:next w:val="a"/>
    <w:link w:val="6Char"/>
    <w:qFormat/>
    <w:rsid w:val="00313371"/>
    <w:pPr>
      <w:keepNext/>
      <w:tabs>
        <w:tab w:val="left" w:pos="993"/>
      </w:tabs>
      <w:spacing w:line="360" w:lineRule="atLeast"/>
      <w:ind w:right="-348"/>
      <w:outlineLvl w:val="5"/>
    </w:pPr>
    <w:rPr>
      <w:rFonts w:ascii="Arial" w:hAnsi="Arial"/>
      <w:b/>
      <w:bCs/>
      <w:lang w:eastAsia="en-US"/>
    </w:rPr>
  </w:style>
  <w:style w:type="paragraph" w:styleId="7">
    <w:name w:val="heading 7"/>
    <w:aliases w:val="Επικεφαλίδα 7 για πρακτικά"/>
    <w:basedOn w:val="a"/>
    <w:next w:val="a"/>
    <w:link w:val="7Char"/>
    <w:autoRedefine/>
    <w:qFormat/>
    <w:rsid w:val="00E22021"/>
    <w:pPr>
      <w:keepNext/>
      <w:jc w:val="center"/>
      <w:outlineLvl w:val="6"/>
    </w:pPr>
    <w:rPr>
      <w:b/>
      <w:szCs w:val="20"/>
      <w:u w:val="single"/>
      <w:lang w:eastAsia="en-US"/>
    </w:rPr>
  </w:style>
  <w:style w:type="paragraph" w:styleId="8">
    <w:name w:val="heading 8"/>
    <w:basedOn w:val="a"/>
    <w:next w:val="a"/>
    <w:link w:val="8Char"/>
    <w:qFormat/>
    <w:rsid w:val="00313371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313371"/>
    <w:pPr>
      <w:keepNext/>
      <w:tabs>
        <w:tab w:val="left" w:pos="900"/>
        <w:tab w:val="left" w:pos="5580"/>
      </w:tabs>
      <w:spacing w:line="240" w:lineRule="atLeast"/>
      <w:jc w:val="both"/>
      <w:outlineLvl w:val="8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"/>
    <w:basedOn w:val="2"/>
    <w:qFormat/>
    <w:rsid w:val="00313371"/>
    <w:pPr>
      <w:spacing w:before="120" w:after="120" w:line="360" w:lineRule="auto"/>
      <w:ind w:left="0" w:right="45"/>
    </w:pPr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313371"/>
    <w:rPr>
      <w:rFonts w:ascii="Arial" w:eastAsiaTheme="majorEastAsia" w:hAnsi="Arial" w:cs="Arial"/>
      <w:b/>
      <w:sz w:val="28"/>
      <w:szCs w:val="24"/>
    </w:rPr>
  </w:style>
  <w:style w:type="character" w:customStyle="1" w:styleId="1Char">
    <w:name w:val="Επικεφαλίδα 1 Char"/>
    <w:basedOn w:val="a0"/>
    <w:link w:val="1"/>
    <w:rsid w:val="00313371"/>
    <w:rPr>
      <w:rFonts w:ascii="Arial" w:hAnsi="Arial" w:cs="Arial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313371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313371"/>
    <w:rPr>
      <w:rFonts w:ascii="Arial" w:hAnsi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313371"/>
    <w:rPr>
      <w:rFonts w:ascii="Arial" w:hAnsi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rsid w:val="00313371"/>
    <w:rPr>
      <w:rFonts w:ascii="Arial" w:hAnsi="Arial"/>
      <w:b/>
      <w:bCs/>
      <w:sz w:val="24"/>
      <w:szCs w:val="24"/>
    </w:rPr>
  </w:style>
  <w:style w:type="character" w:customStyle="1" w:styleId="7Char">
    <w:name w:val="Επικεφαλίδα 7 Char"/>
    <w:aliases w:val="Επικεφαλίδα 7 για πρακτικά Char"/>
    <w:basedOn w:val="a0"/>
    <w:link w:val="7"/>
    <w:rsid w:val="00E22021"/>
    <w:rPr>
      <w:b/>
      <w:sz w:val="24"/>
      <w:u w:val="single"/>
    </w:rPr>
  </w:style>
  <w:style w:type="character" w:customStyle="1" w:styleId="8Char">
    <w:name w:val="Επικεφαλίδα 8 Char"/>
    <w:basedOn w:val="a0"/>
    <w:link w:val="8"/>
    <w:rsid w:val="0031337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313371"/>
    <w:rPr>
      <w:rFonts w:ascii="Arial" w:hAnsi="Arial"/>
      <w:b/>
      <w:sz w:val="24"/>
      <w:szCs w:val="24"/>
    </w:rPr>
  </w:style>
  <w:style w:type="paragraph" w:styleId="a4">
    <w:name w:val="caption"/>
    <w:basedOn w:val="a"/>
    <w:next w:val="a"/>
    <w:qFormat/>
    <w:rsid w:val="00313371"/>
    <w:pPr>
      <w:jc w:val="center"/>
    </w:pPr>
    <w:rPr>
      <w:b/>
      <w:sz w:val="28"/>
      <w:szCs w:val="20"/>
      <w:lang w:eastAsia="en-US"/>
    </w:rPr>
  </w:style>
  <w:style w:type="paragraph" w:styleId="a5">
    <w:name w:val="Title"/>
    <w:basedOn w:val="a"/>
    <w:link w:val="Char"/>
    <w:qFormat/>
    <w:rsid w:val="00313371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Char">
    <w:name w:val="Τίτλος Char"/>
    <w:basedOn w:val="a0"/>
    <w:link w:val="a5"/>
    <w:rsid w:val="00313371"/>
    <w:rPr>
      <w:rFonts w:ascii="Arial" w:hAnsi="Arial" w:cs="Arial"/>
      <w:b/>
      <w:bCs/>
      <w:sz w:val="24"/>
      <w:szCs w:val="24"/>
      <w:u w:val="single"/>
    </w:rPr>
  </w:style>
  <w:style w:type="character" w:styleId="a6">
    <w:name w:val="Strong"/>
    <w:qFormat/>
    <w:rsid w:val="00313371"/>
    <w:rPr>
      <w:b/>
      <w:bCs/>
    </w:rPr>
  </w:style>
  <w:style w:type="paragraph" w:styleId="a7">
    <w:name w:val="List Paragraph"/>
    <w:basedOn w:val="a"/>
    <w:uiPriority w:val="34"/>
    <w:qFormat/>
    <w:rsid w:val="00313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Char0"/>
    <w:unhideWhenUsed/>
    <w:rsid w:val="00985BCB"/>
    <w:pPr>
      <w:tabs>
        <w:tab w:val="left" w:pos="360"/>
      </w:tabs>
      <w:spacing w:line="480" w:lineRule="auto"/>
      <w:jc w:val="both"/>
    </w:pPr>
    <w:rPr>
      <w:lang w:val="x-none"/>
    </w:rPr>
  </w:style>
  <w:style w:type="character" w:customStyle="1" w:styleId="Char0">
    <w:name w:val="Σώμα κειμένου Char"/>
    <w:basedOn w:val="a0"/>
    <w:link w:val="a8"/>
    <w:rsid w:val="00985BCB"/>
    <w:rPr>
      <w:sz w:val="24"/>
      <w:szCs w:val="24"/>
      <w:lang w:val="x-none" w:eastAsia="el-GR"/>
    </w:rPr>
  </w:style>
  <w:style w:type="table" w:styleId="a9">
    <w:name w:val="Table Grid"/>
    <w:basedOn w:val="a1"/>
    <w:uiPriority w:val="59"/>
    <w:rsid w:val="00985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athnikol</cp:lastModifiedBy>
  <cp:revision>26</cp:revision>
  <cp:lastPrinted>2022-01-31T08:17:00Z</cp:lastPrinted>
  <dcterms:created xsi:type="dcterms:W3CDTF">2022-01-28T11:58:00Z</dcterms:created>
  <dcterms:modified xsi:type="dcterms:W3CDTF">2022-02-08T08:31:00Z</dcterms:modified>
</cp:coreProperties>
</file>